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6662">
        <w:rPr>
          <w:rFonts w:ascii="MS Shell Dlg 2" w:hAnsi="MS Shell Dlg 2" w:cs="MS Shell Dlg 2"/>
          <w:noProof/>
          <w:sz w:val="40"/>
          <w:szCs w:val="40"/>
          <w:u w:val="single"/>
        </w:rPr>
        <w:t>Co</w:t>
      </w:r>
      <w:r w:rsidR="00A92EEB">
        <w:rPr>
          <w:rFonts w:ascii="MS Shell Dlg 2" w:hAnsi="MS Shell Dlg 2" w:cs="MS Shell Dlg 2"/>
          <w:noProof/>
          <w:sz w:val="40"/>
          <w:szCs w:val="40"/>
          <w:u w:val="single"/>
        </w:rPr>
        <w:t>efficient de majoration pour la détermination de la résistance moyenne à la compression du béton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A92EEB" w:rsidRDefault="00A92EEB" w:rsidP="00A92EEB">
      <w:r>
        <w:rPr>
          <w:noProof/>
        </w:rPr>
        <w:drawing>
          <wp:anchor distT="0" distB="0" distL="114300" distR="114300" simplePos="0" relativeHeight="251660288" behindDoc="0" locked="0" layoutInCell="1" allowOverlap="1" wp14:anchorId="13B7F2C1" wp14:editId="12E89CB3">
            <wp:simplePos x="0" y="0"/>
            <wp:positionH relativeFrom="column">
              <wp:posOffset>3696</wp:posOffset>
            </wp:positionH>
            <wp:positionV relativeFrom="paragraph">
              <wp:posOffset>300</wp:posOffset>
            </wp:positionV>
            <wp:extent cx="2561905" cy="238095"/>
            <wp:effectExtent l="0" t="0" r="0" b="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rmExigenceFormulation_coefFc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1905" cy="238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La méthode Dreux-</w:t>
      </w:r>
      <w:proofErr w:type="spellStart"/>
      <w:r>
        <w:t>Gorisse</w:t>
      </w:r>
      <w:proofErr w:type="spellEnd"/>
      <w:r>
        <w:t xml:space="preserve"> formule le béton par rapport à une résistance moyenne.</w:t>
      </w:r>
    </w:p>
    <w:p w:rsidR="00A92EEB" w:rsidRDefault="00A92EEB" w:rsidP="00A92EEB">
      <w:r>
        <w:t>Or, les calculs de structures se basent sur une résistance caractéristique du béton. Il faut donc passer d’une résistance caractéristique à une résistance moyenne afin que le béton formulé corresponde à celui exigé pour le calcul de la structure.</w:t>
      </w:r>
    </w:p>
    <w:p w:rsidR="00A92EEB" w:rsidRDefault="00A92EEB" w:rsidP="00A92EEB">
      <w:r>
        <w:t>En conséquence, il est nécessaire de prévoir un coefficient de majoration pour permettre de passer de la résistance caractéristique à la résistance moyenne.</w:t>
      </w:r>
    </w:p>
    <w:p w:rsidR="00A92EEB" w:rsidRDefault="00A92EEB" w:rsidP="00A92EEB">
      <w:r>
        <w:t>Ce coefficient, qui est toujours supérieur à 1, peut s’étager de 1,15 à 1,20 suivant ce qui figure dans la littérature.</w:t>
      </w:r>
    </w:p>
    <w:p w:rsidR="00A92EEB" w:rsidRDefault="00A92EEB" w:rsidP="00A92EEB">
      <w:r>
        <w:t xml:space="preserve">Voir, par exemple ci-dessous, un extrait tiré de </w:t>
      </w:r>
      <w:hyperlink w:anchor="Biblio_TD_ENS" w:history="1">
        <w:r w:rsidRPr="009D7614">
          <w:rPr>
            <w:rStyle w:val="Lienhypertexte"/>
          </w:rPr>
          <w:fldChar w:fldCharType="begin"/>
        </w:r>
        <w:r w:rsidRPr="009D7614">
          <w:rPr>
            <w:rStyle w:val="Lienhypertexte"/>
          </w:rPr>
          <w:instrText xml:space="preserve"> REF Biblio_TD_ENS \h </w:instrText>
        </w:r>
        <w:r w:rsidRPr="009D7614">
          <w:rPr>
            <w:rStyle w:val="Lienhypertexte"/>
          </w:rPr>
        </w:r>
        <w:r w:rsidRPr="009D7614">
          <w:rPr>
            <w:rStyle w:val="Lienhypertexte"/>
          </w:rPr>
          <w:fldChar w:fldCharType="end"/>
        </w:r>
        <w:r w:rsidRPr="009D7614">
          <w:rPr>
            <w:rStyle w:val="Lienhypertexte"/>
          </w:rPr>
          <w:fldChar w:fldCharType="begin"/>
        </w:r>
        <w:r w:rsidRPr="009D7614">
          <w:rPr>
            <w:rStyle w:val="Lienhypertexte"/>
          </w:rPr>
          <w:instrText xml:space="preserve"> REF Biblio_TD_ENS \h </w:instrText>
        </w:r>
        <w:r w:rsidRPr="009D7614">
          <w:rPr>
            <w:rStyle w:val="Lienhypertexte"/>
          </w:rPr>
        </w:r>
        <w:r w:rsidRPr="009D7614">
          <w:rPr>
            <w:rStyle w:val="Lienhypertexte"/>
          </w:rPr>
          <w:fldChar w:fldCharType="end"/>
        </w:r>
        <w:r w:rsidRPr="009D7614">
          <w:rPr>
            <w:rStyle w:val="Lienhypertexte"/>
          </w:rPr>
          <w:t>[5]</w:t>
        </w:r>
      </w:hyperlink>
      <w:r>
        <w:t xml:space="preserve"> :</w:t>
      </w:r>
    </w:p>
    <w:p w:rsidR="00A92EEB" w:rsidRDefault="00A92EEB" w:rsidP="00A92EEB">
      <w:r>
        <w:rPr>
          <w:noProof/>
        </w:rPr>
        <w:drawing>
          <wp:inline distT="0" distB="0" distL="0" distR="0" wp14:anchorId="00D0368E" wp14:editId="4EC9898D">
            <wp:extent cx="5428571" cy="1009524"/>
            <wp:effectExtent l="0" t="0" r="1270" b="635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TdENS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EEB" w:rsidRDefault="00A92EEB" w:rsidP="00A92EEB">
      <w:r>
        <w:rPr>
          <w:noProof/>
        </w:rPr>
        <w:drawing>
          <wp:inline distT="0" distB="0" distL="0" distR="0" wp14:anchorId="24AEC742" wp14:editId="601EF688">
            <wp:extent cx="5428571" cy="1171429"/>
            <wp:effectExtent l="0" t="0" r="127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dENS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EEB" w:rsidRDefault="00A92EEB" w:rsidP="00A92EEB">
      <w:r>
        <w:t>Le coefficient de majoration doit supérieur à 1. Une erreur s’affichera si le logiciel détecte une valeur inférieure à 1.</w:t>
      </w:r>
    </w:p>
    <w:p w:rsidR="00A92EEB" w:rsidRPr="003533F0" w:rsidRDefault="00A92EEB" w:rsidP="00A92EEB">
      <w:r>
        <w:t>Il est donc généralement compris entre 1,10 et 1,20 soit entre 10% et 20%.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A92EEB">
        <w:t>21</w:t>
      </w:r>
      <w:r w:rsidR="00513B6C">
        <w:t xml:space="preserve"> </w:t>
      </w:r>
      <w:r w:rsidR="008D6662">
        <w:t>déc</w:t>
      </w:r>
      <w:r w:rsidR="00513B6C">
        <w:t>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lastRenderedPageBreak/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p w:rsidR="00A92EEB" w:rsidRDefault="00826966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 xml:space="preserve">[5] </w:t>
      </w:r>
      <w:bookmarkStart w:id="0" w:name="_GoBack"/>
      <w:bookmarkEnd w:id="0"/>
      <w:r w:rsidR="00A92EEB">
        <w:t>TD – Formulation d’un béton ordinaire – ENS Paris Saclay – 15/10/2018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26966"/>
    <w:rsid w:val="008D6662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0C62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7</cp:revision>
  <dcterms:created xsi:type="dcterms:W3CDTF">2025-11-16T14:41:00Z</dcterms:created>
  <dcterms:modified xsi:type="dcterms:W3CDTF">2026-06-25T06:26:00Z</dcterms:modified>
</cp:coreProperties>
</file>